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  <w:r>
        <w:rPr>
          <w:rFonts w:ascii="CenturyGothic-Bold" w:hAnsi="CenturyGothic-Bold" w:cs="CenturyGothic-Bold"/>
          <w:b/>
          <w:bCs/>
          <w:noProof/>
          <w:lang w:eastAsia="cs-CZ"/>
        </w:rPr>
        <w:drawing>
          <wp:inline distT="0" distB="0" distL="0" distR="0">
            <wp:extent cx="1704975" cy="89964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Gothic-Bold" w:hAnsi="CenturyGothic-Bold" w:cs="CenturyGothic-Bold"/>
          <w:b/>
          <w:bCs/>
        </w:rPr>
        <w:t xml:space="preserve">                                  </w:t>
      </w:r>
      <w:r>
        <w:rPr>
          <w:rFonts w:ascii="CenturyGothic-Bold" w:hAnsi="CenturyGothic-Bold" w:cs="CenturyGothic-Bold"/>
          <w:b/>
          <w:bCs/>
          <w:noProof/>
          <w:lang w:eastAsia="cs-CZ"/>
        </w:rPr>
        <w:drawing>
          <wp:inline distT="0" distB="0" distL="0" distR="0">
            <wp:extent cx="2256559" cy="919339"/>
            <wp:effectExtent l="0" t="0" r="0" b="0"/>
            <wp:docPr id="4" name="Obrázek 4" descr="C:\Users\IMRICH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RICH\Desktop\ind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88" cy="91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  <w:r>
        <w:rPr>
          <w:rFonts w:ascii="CenturyGothic-Bold" w:hAnsi="CenturyGothic-Bold" w:cs="CenturyGothic-Bold"/>
          <w:b/>
          <w:bCs/>
        </w:rPr>
        <w:t>Návod k použití: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Naplňte svícen lampovým olejem. K tomu použijte trychtýř. Nasuňte hadičku do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velkého otvoru ve středu svícnu a vlijte lampový olej.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-Bold" w:hAnsi="CenturyGothic-Bold" w:cs="CenturyGothic-Bold"/>
          <w:b/>
          <w:bCs/>
        </w:rPr>
        <w:t xml:space="preserve">Upozornění: </w:t>
      </w:r>
      <w:r w:rsidRPr="00E67F93">
        <w:rPr>
          <w:rFonts w:ascii="CenturyGothic-Bold" w:hAnsi="CenturyGothic-Bold" w:cs="CenturyGothic-Bold"/>
          <w:bCs/>
        </w:rPr>
        <w:t>P</w:t>
      </w:r>
      <w:r>
        <w:rPr>
          <w:rFonts w:ascii="CenturyGothic" w:hAnsi="CenturyGothic" w:cs="CenturyGothic"/>
        </w:rPr>
        <w:t>oužívejte kvalitní lampový olej, tím zabráníte tvorbě sazí. Nepoužívejte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žádný vonný olej.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Nasuňte přiložený těsnící kroužek na černý držák knotu ( viz. obrázek). Nastavte knot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tak, aby ze silnější části držáku knotu vykukoval přibližně 1 mm a umístěte držáky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knotů s vysícími knoty do příslušných otvorů. Pozor: Velký držák knotu patří do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prostředního otvoru.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  <w:noProof/>
          <w:lang w:eastAsia="cs-CZ"/>
        </w:rPr>
        <w:drawing>
          <wp:inline distT="0" distB="0" distL="0" distR="0">
            <wp:extent cx="3724275" cy="11715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Vyplňte kameny prostor mezi knoty a zapalte knoty.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-Bold" w:hAnsi="CenturyGothic-Bold" w:cs="CenturyGothic-Bold"/>
          <w:b/>
          <w:bCs/>
        </w:rPr>
        <w:t xml:space="preserve">Regulace výšky plamene: </w:t>
      </w:r>
      <w:r>
        <w:rPr>
          <w:rFonts w:ascii="CenturyGothic" w:hAnsi="CenturyGothic" w:cs="CenturyGothic"/>
        </w:rPr>
        <w:t>Plamen bude vyšší, čím víc bude knot vyčnívat. Jsou-li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plameny příliš velké, zasuňte knot dovnitř. Jsou-li plameny příliš malé, povysuňte knot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o trochu výše.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-Bold" w:hAnsi="CenturyGothic-Bold" w:cs="CenturyGothic-Bold"/>
          <w:b/>
          <w:bCs/>
        </w:rPr>
        <w:t xml:space="preserve">Čištění: </w:t>
      </w:r>
      <w:r>
        <w:rPr>
          <w:rFonts w:ascii="CenturyGothic" w:hAnsi="CenturyGothic" w:cs="CenturyGothic"/>
        </w:rPr>
        <w:t>Svícen můžete bez rozpaků omývat běžnými umývacími prostředky.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-Bold" w:hAnsi="CenturyGothic-Bold" w:cs="CenturyGothic-Bold"/>
          <w:b/>
          <w:bCs/>
        </w:rPr>
        <w:t xml:space="preserve">Používání uvnitř: </w:t>
      </w:r>
      <w:r>
        <w:rPr>
          <w:rFonts w:ascii="CenturyGothic" w:hAnsi="CenturyGothic" w:cs="CenturyGothic"/>
        </w:rPr>
        <w:t>Pod svícen použijte prosím žáruvzdornou podložku, pokud bude stát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na cenném nábytku.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-Bold" w:hAnsi="CenturyGothic-Bold" w:cs="CenturyGothic-Bold"/>
          <w:b/>
          <w:bCs/>
        </w:rPr>
        <w:t xml:space="preserve">Používání venku: </w:t>
      </w:r>
      <w:r>
        <w:rPr>
          <w:rFonts w:ascii="CenturyGothic" w:hAnsi="CenturyGothic" w:cs="CenturyGothic"/>
        </w:rPr>
        <w:t>Dávejte pozor, aby do svícne nezatekla voda. Pokud se promísí olej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s vodou, nebude svícen hořet.</w:t>
      </w: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</w:rPr>
      </w:pPr>
    </w:p>
    <w:p w:rsidR="00E67F93" w:rsidRDefault="00E67F93" w:rsidP="00E67F9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</w:rPr>
      </w:pPr>
      <w:r>
        <w:rPr>
          <w:rFonts w:ascii="CenturyGothic-Bold" w:hAnsi="CenturyGothic-Bold" w:cs="CenturyGothic-Bold"/>
          <w:b/>
          <w:bCs/>
        </w:rPr>
        <w:t xml:space="preserve">Zahřívání: </w:t>
      </w:r>
      <w:r>
        <w:rPr>
          <w:rFonts w:ascii="CenturyGothic" w:hAnsi="CenturyGothic" w:cs="CenturyGothic"/>
        </w:rPr>
        <w:t>Svícen je vytvořen z hliníku, který dobře přenáší teplo. Když svícen hoří,</w:t>
      </w:r>
    </w:p>
    <w:p w:rsidR="004E0EFC" w:rsidRDefault="00E67F93" w:rsidP="00E67F93">
      <w:pPr>
        <w:rPr>
          <w:rFonts w:ascii="CenturyGothic" w:hAnsi="CenturyGothic" w:cs="CenturyGothic"/>
        </w:rPr>
      </w:pPr>
      <w:r>
        <w:rPr>
          <w:rFonts w:ascii="CenturyGothic" w:hAnsi="CenturyGothic" w:cs="CenturyGothic"/>
        </w:rPr>
        <w:t>může se zásobník ohřát. Toto zkuste dříve, než jej uchopíte.</w:t>
      </w:r>
    </w:p>
    <w:p w:rsidR="00E67F93" w:rsidRDefault="00E67F93" w:rsidP="00E67F93">
      <w:pPr>
        <w:rPr>
          <w:rFonts w:ascii="CenturyGothic" w:hAnsi="CenturyGothic" w:cs="CenturyGothic"/>
        </w:rPr>
      </w:pPr>
    </w:p>
    <w:p w:rsidR="00E67F93" w:rsidRDefault="00E67F93" w:rsidP="00E67F93">
      <w:r>
        <w:rPr>
          <w:rFonts w:ascii="CenturyGothic" w:hAnsi="CenturyGothic" w:cs="CenturyGothic"/>
        </w:rPr>
        <w:t xml:space="preserve">Děkujeme za přečtení </w:t>
      </w:r>
      <w:r w:rsidRPr="00E67F93">
        <w:rPr>
          <w:rFonts w:ascii="CenturyGothic" w:hAnsi="CenturyGothic" w:cs="CenturyGothic"/>
        </w:rPr>
        <w:sym w:font="Wingdings" w:char="F04A"/>
      </w:r>
      <w:bookmarkStart w:id="0" w:name="_GoBack"/>
      <w:bookmarkEnd w:id="0"/>
    </w:p>
    <w:sectPr w:rsidR="00E6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42"/>
    <w:rsid w:val="004E0EFC"/>
    <w:rsid w:val="006C23CC"/>
    <w:rsid w:val="00E67F93"/>
    <w:rsid w:val="00E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Testovací verze - 30dní</dc:creator>
  <cp:lastModifiedBy>Testovací verze - 30dní</cp:lastModifiedBy>
  <cp:revision>2</cp:revision>
  <cp:lastPrinted>2015-04-27T08:24:00Z</cp:lastPrinted>
  <dcterms:created xsi:type="dcterms:W3CDTF">2015-04-27T08:35:00Z</dcterms:created>
  <dcterms:modified xsi:type="dcterms:W3CDTF">2015-04-27T08:35:00Z</dcterms:modified>
</cp:coreProperties>
</file>